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4B9F18" w14:textId="77777777" w:rsidR="00AC2C27" w:rsidRPr="00497A51" w:rsidRDefault="00AC2C27" w:rsidP="00AC2C27">
      <w:pPr>
        <w:pStyle w:val="Heading2"/>
        <w:jc w:val="both"/>
        <w:rPr>
          <w:sz w:val="32"/>
          <w:szCs w:val="32"/>
        </w:rPr>
      </w:pPr>
      <w:r w:rsidRPr="00497A51">
        <w:rPr>
          <w:rStyle w:val="Strong"/>
          <w:b/>
          <w:bCs/>
          <w:sz w:val="32"/>
          <w:szCs w:val="32"/>
        </w:rPr>
        <w:t>Finance and Resource Mobilization</w:t>
      </w:r>
    </w:p>
    <w:p w14:paraId="7423491C" w14:textId="77777777" w:rsidR="00AC2C27" w:rsidRDefault="00AC2C27" w:rsidP="00AC2C27">
      <w:pPr>
        <w:pStyle w:val="NormalWeb"/>
        <w:spacing w:line="360" w:lineRule="auto"/>
        <w:jc w:val="both"/>
      </w:pPr>
      <w:r>
        <w:t>The Research &amp; Development Cell facilitates the mobilization of research funding from government agencies, industries, corporate social responsibility (CSR) initiatives, and other funding bodies. The institution makes provisions for research funding in its annual budget and encourages seed funding to support early-stage research and innovation activities.</w:t>
      </w:r>
    </w:p>
    <w:p w14:paraId="08B8BEDF" w14:textId="77777777" w:rsidR="00AC2C27" w:rsidRPr="00497A51" w:rsidRDefault="00AC2C27" w:rsidP="00AC2C27">
      <w:pPr>
        <w:pStyle w:val="Heading2"/>
        <w:spacing w:line="360" w:lineRule="auto"/>
        <w:jc w:val="both"/>
        <w:rPr>
          <w:sz w:val="32"/>
          <w:szCs w:val="32"/>
        </w:rPr>
      </w:pPr>
      <w:r w:rsidRPr="00497A51">
        <w:rPr>
          <w:rStyle w:val="Strong"/>
          <w:b/>
          <w:bCs/>
          <w:sz w:val="32"/>
          <w:szCs w:val="32"/>
        </w:rPr>
        <w:t>Research Incentives and Awards</w:t>
      </w:r>
    </w:p>
    <w:p w14:paraId="327F22B1" w14:textId="77777777" w:rsidR="00AC2C27" w:rsidRPr="00C657B4" w:rsidRDefault="00AC2C27" w:rsidP="00AC2C27">
      <w:pPr>
        <w:pStyle w:val="NormalWeb"/>
        <w:spacing w:line="360" w:lineRule="auto"/>
        <w:jc w:val="both"/>
      </w:pPr>
      <w:r>
        <w:t>The institution recognizes that incentives and recognition play a vital role in motivating faculty members and students to engage in high-quality research. The Research &amp; Development Cell encourages excellence in research by acknowledging significant scholarly contributions such as quality publications, funded research projects, patents, innovations, and research-based teaching practices. Incentives and awards are instituted to promote a strong research culture and to encourage sustained academic and scientific excellence in pharmaceutical research.</w:t>
      </w:r>
    </w:p>
    <w:p w14:paraId="0D8DA5BF" w14:textId="77777777" w:rsidR="00794011" w:rsidRDefault="00794011"/>
    <w:sectPr w:rsidR="007940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099"/>
    <w:rsid w:val="001C7099"/>
    <w:rsid w:val="00794011"/>
    <w:rsid w:val="00AC2C2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D73B92-C86E-452A-B58F-87B3ABABE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C2C27"/>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C2C27"/>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AC2C27"/>
    <w:rPr>
      <w:b/>
      <w:bCs/>
    </w:rPr>
  </w:style>
  <w:style w:type="paragraph" w:styleId="NormalWeb">
    <w:name w:val="Normal (Web)"/>
    <w:basedOn w:val="Normal"/>
    <w:uiPriority w:val="99"/>
    <w:unhideWhenUsed/>
    <w:rsid w:val="00AC2C27"/>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146</Words>
  <Characters>834</Characters>
  <Application>Microsoft Office Word</Application>
  <DocSecurity>0</DocSecurity>
  <Lines>6</Lines>
  <Paragraphs>1</Paragraphs>
  <ScaleCrop>false</ScaleCrop>
  <Company/>
  <LinksUpToDate>false</LinksUpToDate>
  <CharactersWithSpaces>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2026-01-24T08:09:00Z</dcterms:created>
  <dcterms:modified xsi:type="dcterms:W3CDTF">2026-01-24T08:09:00Z</dcterms:modified>
</cp:coreProperties>
</file>