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97F151" w14:textId="77777777" w:rsidR="006D3DE2" w:rsidRPr="00D07C29" w:rsidRDefault="006D3DE2" w:rsidP="006D3DE2">
      <w:pPr>
        <w:spacing w:before="100" w:beforeAutospacing="1" w:after="100" w:afterAutospacing="1" w:line="360" w:lineRule="auto"/>
        <w:jc w:val="both"/>
        <w:outlineLvl w:val="1"/>
        <w:rPr>
          <w:rFonts w:ascii="Times New Roman" w:eastAsia="Times New Roman" w:hAnsi="Times New Roman" w:cs="Times New Roman"/>
          <w:b/>
          <w:bCs/>
          <w:sz w:val="32"/>
          <w:szCs w:val="32"/>
          <w:lang w:eastAsia="en-IN"/>
        </w:rPr>
      </w:pPr>
      <w:r w:rsidRPr="00D07C29">
        <w:rPr>
          <w:rFonts w:ascii="Times New Roman" w:eastAsia="Times New Roman" w:hAnsi="Times New Roman" w:cs="Times New Roman"/>
          <w:b/>
          <w:bCs/>
          <w:sz w:val="32"/>
          <w:szCs w:val="32"/>
          <w:lang w:eastAsia="en-IN"/>
        </w:rPr>
        <w:t>Research Monitoring and Quality Assurance</w:t>
      </w:r>
    </w:p>
    <w:p w14:paraId="5811961A" w14:textId="77777777" w:rsidR="006D3DE2" w:rsidRDefault="006D3DE2" w:rsidP="006D3DE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D07C29">
        <w:rPr>
          <w:rFonts w:ascii="Times New Roman" w:eastAsia="Times New Roman" w:hAnsi="Times New Roman" w:cs="Times New Roman"/>
          <w:sz w:val="24"/>
          <w:szCs w:val="24"/>
          <w:lang w:eastAsia="en-IN"/>
        </w:rPr>
        <w:t xml:space="preserve">The Research &amp; Development Cell continuously monitors research progress to ensure timely completion and adherence to quality benchmarks. It conducts internal reviews and quality assessments to promote publication in reputed journals indexed in </w:t>
      </w:r>
      <w:r w:rsidRPr="00D07C29">
        <w:rPr>
          <w:rFonts w:ascii="Times New Roman" w:eastAsia="Times New Roman" w:hAnsi="Times New Roman" w:cs="Times New Roman"/>
          <w:b/>
          <w:bCs/>
          <w:sz w:val="24"/>
          <w:szCs w:val="24"/>
          <w:lang w:eastAsia="en-IN"/>
        </w:rPr>
        <w:t>Scopus, Web of Science, and UGC-CARE</w:t>
      </w:r>
      <w:r w:rsidRPr="00D07C29">
        <w:rPr>
          <w:rFonts w:ascii="Times New Roman" w:eastAsia="Times New Roman" w:hAnsi="Times New Roman" w:cs="Times New Roman"/>
          <w:sz w:val="24"/>
          <w:szCs w:val="24"/>
          <w:lang w:eastAsia="en-IN"/>
        </w:rPr>
        <w:t>. The RDC also ensures compliance with Good Laboratory Practices and safety standards.</w:t>
      </w:r>
    </w:p>
    <w:p w14:paraId="35B84FF1" w14:textId="77777777" w:rsidR="006D3DE2" w:rsidRPr="00497A51" w:rsidRDefault="006D3DE2" w:rsidP="006D3DE2">
      <w:pPr>
        <w:pStyle w:val="Heading2"/>
        <w:spacing w:line="360" w:lineRule="auto"/>
        <w:jc w:val="both"/>
        <w:rPr>
          <w:sz w:val="32"/>
          <w:szCs w:val="32"/>
        </w:rPr>
      </w:pPr>
      <w:r w:rsidRPr="00497A51">
        <w:rPr>
          <w:rStyle w:val="Strong"/>
          <w:b/>
          <w:bCs/>
          <w:sz w:val="32"/>
          <w:szCs w:val="32"/>
        </w:rPr>
        <w:t>Institutional Ethics Committee</w:t>
      </w:r>
    </w:p>
    <w:p w14:paraId="7ADFAAFC" w14:textId="77777777" w:rsidR="006D3DE2" w:rsidRDefault="006D3DE2" w:rsidP="006D3DE2">
      <w:pPr>
        <w:pStyle w:val="NormalWeb"/>
        <w:spacing w:line="360" w:lineRule="auto"/>
        <w:jc w:val="both"/>
      </w:pPr>
      <w:r>
        <w:t>The Institutional Ethics Committee functions to ensure that all research involving human participants, animals, biological materials, or sensitive data is conducted in accordance with ethical and regulatory standards. The committee reviews research proposals, provides ethical clearance wherever required, and monitors compliance throughout the research process. The committee operates independently and ensures protection of participant rights, safety, and confidentiality in pharmaceutical and healthcare research.</w:t>
      </w:r>
    </w:p>
    <w:p w14:paraId="71AF8EF6" w14:textId="77777777" w:rsidR="006D3DE2" w:rsidRPr="005B4D34" w:rsidRDefault="006D3DE2" w:rsidP="006D3DE2">
      <w:pPr>
        <w:spacing w:before="100" w:beforeAutospacing="1" w:after="100" w:afterAutospacing="1" w:line="360" w:lineRule="auto"/>
        <w:jc w:val="both"/>
        <w:outlineLvl w:val="1"/>
        <w:rPr>
          <w:rFonts w:ascii="Times New Roman" w:eastAsia="Times New Roman" w:hAnsi="Times New Roman" w:cs="Times New Roman"/>
          <w:b/>
          <w:bCs/>
          <w:sz w:val="32"/>
          <w:szCs w:val="32"/>
          <w:lang w:eastAsia="en-IN"/>
        </w:rPr>
      </w:pPr>
      <w:r w:rsidRPr="005B4D34">
        <w:rPr>
          <w:rFonts w:ascii="Times New Roman" w:eastAsia="Times New Roman" w:hAnsi="Times New Roman" w:cs="Times New Roman"/>
          <w:b/>
          <w:bCs/>
          <w:sz w:val="32"/>
          <w:szCs w:val="32"/>
          <w:lang w:eastAsia="en-IN"/>
        </w:rPr>
        <w:t>Plagiarism Policy</w:t>
      </w:r>
    </w:p>
    <w:p w14:paraId="770C78A9" w14:textId="77777777" w:rsidR="006D3DE2" w:rsidRPr="005B4D34" w:rsidRDefault="006D3DE2" w:rsidP="006D3DE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5B4D34">
        <w:rPr>
          <w:rFonts w:ascii="Times New Roman" w:eastAsia="Times New Roman" w:hAnsi="Times New Roman" w:cs="Times New Roman"/>
          <w:sz w:val="24"/>
          <w:szCs w:val="24"/>
          <w:lang w:eastAsia="en-IN"/>
        </w:rPr>
        <w:t>The institution strictly adheres to the plagiarism prevention guidelines issued by the University Grants Commission. All research work including dissertations, theses, project reports, and manuscripts is subjected to plagiarism checking using approved plagiarism detection software. Faculty members and students are regularly made aware of plagiarism norms, acceptable similarity limits, and proper citation practices to ensure originality and academic honesty.</w:t>
      </w:r>
    </w:p>
    <w:p w14:paraId="347DF0FE" w14:textId="77777777" w:rsidR="006D3DE2" w:rsidRPr="00497A51" w:rsidRDefault="006D3DE2" w:rsidP="006D3DE2">
      <w:pPr>
        <w:pStyle w:val="Heading2"/>
        <w:spacing w:line="360" w:lineRule="auto"/>
        <w:jc w:val="both"/>
        <w:rPr>
          <w:sz w:val="32"/>
          <w:szCs w:val="32"/>
        </w:rPr>
      </w:pPr>
      <w:r w:rsidRPr="00497A51">
        <w:rPr>
          <w:rStyle w:val="Strong"/>
          <w:b/>
          <w:bCs/>
          <w:sz w:val="32"/>
          <w:szCs w:val="32"/>
        </w:rPr>
        <w:t>Capacity Building</w:t>
      </w:r>
    </w:p>
    <w:p w14:paraId="5E931504" w14:textId="77777777" w:rsidR="006D3DE2" w:rsidRPr="00D07C29" w:rsidRDefault="006D3DE2" w:rsidP="006D3DE2">
      <w:pPr>
        <w:pStyle w:val="NormalWeb"/>
        <w:spacing w:line="360" w:lineRule="auto"/>
        <w:jc w:val="both"/>
      </w:pPr>
      <w:r>
        <w:t>The RDC actively contributes to capacity building by organizing refresher courses, training programs, internships, workshops, seminars, and conferences. These initiatives aim to enhance research skills, promote innovation, and improve the institution’s research output, accreditation performance, and global visibility.</w:t>
      </w:r>
    </w:p>
    <w:p w14:paraId="4A2C4576" w14:textId="77777777" w:rsidR="00794011" w:rsidRDefault="00794011"/>
    <w:sectPr w:rsidR="00794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5C2"/>
    <w:rsid w:val="006D3DE2"/>
    <w:rsid w:val="007165C2"/>
    <w:rsid w:val="0079401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2EAC53-7687-4C4A-9228-40B085B83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E2"/>
  </w:style>
  <w:style w:type="paragraph" w:styleId="Heading2">
    <w:name w:val="heading 2"/>
    <w:basedOn w:val="Normal"/>
    <w:link w:val="Heading2Char"/>
    <w:uiPriority w:val="9"/>
    <w:qFormat/>
    <w:rsid w:val="006D3DE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3DE2"/>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6D3DE2"/>
    <w:rPr>
      <w:b/>
      <w:bCs/>
    </w:rPr>
  </w:style>
  <w:style w:type="paragraph" w:styleId="NormalWeb">
    <w:name w:val="Normal (Web)"/>
    <w:basedOn w:val="Normal"/>
    <w:uiPriority w:val="99"/>
    <w:unhideWhenUsed/>
    <w:rsid w:val="006D3DE2"/>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2026-01-24T08:11:00Z</dcterms:created>
  <dcterms:modified xsi:type="dcterms:W3CDTF">2026-01-24T08:11:00Z</dcterms:modified>
</cp:coreProperties>
</file>